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Лекция 14: Оценка эффективности систем управления</w:t>
      </w:r>
    </w:p>
    <w:p w:rsidR="00000000" w:rsidDel="00000000" w:rsidP="00000000" w:rsidRDefault="00000000" w:rsidRPr="00000000" w14:paraId="00000002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Аннотация лекции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Данная лекция посвящена завершающему методологическому блоку курса — оценке экономической и социальной эффективности управленческой деятельности. В рамках занятия подробно рассматриваются: сущность понятий «эффективность» и «результативность», система количественных и качественных показателей управленческого труда, методы комплексного аудита и диагностики систем управления, а также пути оптимизации затрат на аппарат управления. Лекция формирует у студентов системный навык объективного измерения вклада менеджмента в итоговые результаты работы организации.</w:t>
      </w:r>
    </w:p>
    <w:p w:rsidR="00000000" w:rsidDel="00000000" w:rsidP="00000000" w:rsidRDefault="00000000" w:rsidRPr="00000000" w14:paraId="0000000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Учебные цели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Четко разграничить категории «эффективность», «результативность» и «экономичность» управления.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Изучить систему показателей экономической и социальной эффективности систем управления.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Освоить методику проведения управленческого аудита и диагностики организационных патологий.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Ознакомиться с современными комплексными подходами к оценке эффективности (KPI, BSC, ROI от управления).</w:t>
      </w:r>
    </w:p>
    <w:p w:rsidR="00000000" w:rsidDel="00000000" w:rsidP="00000000" w:rsidRDefault="00000000" w:rsidRPr="00000000" w14:paraId="0000000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План лекции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Понятие и сущность эффективности управления</w:t>
      </w:r>
    </w:p>
    <w:p w:rsidR="00000000" w:rsidDel="00000000" w:rsidP="00000000" w:rsidRDefault="00000000" w:rsidRPr="00000000" w14:paraId="0000000B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Соотношение категорий: «эффект», «эффективность», «результативность» (по П. Друкеру).</w:t>
      </w:r>
    </w:p>
    <w:p w:rsidR="00000000" w:rsidDel="00000000" w:rsidP="00000000" w:rsidRDefault="00000000" w:rsidRPr="00000000" w14:paraId="0000000C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Специфика управленческого труда как объекта оценки.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Система показателей эффективности систем управления</w:t>
      </w:r>
    </w:p>
    <w:p w:rsidR="00000000" w:rsidDel="00000000" w:rsidP="00000000" w:rsidRDefault="00000000" w:rsidRPr="00000000" w14:paraId="0000000E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Прямые и косвенные показатели эффективности.</w:t>
      </w:r>
    </w:p>
    <w:p w:rsidR="00000000" w:rsidDel="00000000" w:rsidP="00000000" w:rsidRDefault="00000000" w:rsidRPr="00000000" w14:paraId="0000000F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Экономическая эффективность: обобщающие и частные критерии.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Социальная эффективность и оценка удовлетворенности персонала.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Методы диагностики и аудита систем управления</w:t>
      </w:r>
    </w:p>
    <w:p w:rsidR="00000000" w:rsidDel="00000000" w:rsidP="00000000" w:rsidRDefault="00000000" w:rsidRPr="00000000" w14:paraId="00000012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Экспертные и социологические методы оценки.</w:t>
      </w:r>
    </w:p>
    <w:p w:rsidR="00000000" w:rsidDel="00000000" w:rsidP="00000000" w:rsidRDefault="00000000" w:rsidRPr="00000000" w14:paraId="00000013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Диагностика организационных патологий (по А.И. Пригожину).</w:t>
      </w:r>
    </w:p>
    <w:p w:rsidR="00000000" w:rsidDel="00000000" w:rsidP="00000000" w:rsidRDefault="00000000" w:rsidRPr="00000000" w14:paraId="00000014">
      <w:pPr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Оценка затрат на аппарат управления (абсолютные и относительные показатели).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Современные интегрированные модели оценки</w:t>
      </w:r>
    </w:p>
    <w:p w:rsidR="00000000" w:rsidDel="00000000" w:rsidP="00000000" w:rsidRDefault="00000000" w:rsidRPr="00000000" w14:paraId="00000016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Концепция Return on Investment (ROI) в управленческих инновациях.</w:t>
      </w:r>
    </w:p>
    <w:p w:rsidR="00000000" w:rsidDel="00000000" w:rsidP="00000000" w:rsidRDefault="00000000" w:rsidRPr="00000000" w14:paraId="00000017">
      <w:pPr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5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Оценка эффективности через Сбалансированную систему показателей (BSC).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Резюме и контрольные вопросы</w:t>
      </w:r>
    </w:p>
    <w:p w:rsidR="00000000" w:rsidDel="00000000" w:rsidP="00000000" w:rsidRDefault="00000000" w:rsidRPr="00000000" w14:paraId="00000019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Понятие и сущность эффективности управления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Оценка эффективности — одна из наиболее сложных задач в менеджменте, так как управленческий труд не создает материальный продукт напрямую, а опосредуется через деятельность управляемого объекта (производства, отдела, проекта).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Эффект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конечный практический результат деятельности (прибыль, объем продаж, прирост доли рынка, выпущенная продукция), выраженный в абсолютных величинах.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7.5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Эффективность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это относительный показатель, характеризующий соотношение полученного эффекта (результата) и затрат ресурсов (финансовых, временных, трудовых), понесенных для его достижения.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                         ┌──────────────────────────────┐</w:t>
        <w:br w:type="textWrapping"/>
        <w:t xml:space="preserve">                         │    ЭФФЕКТИВНОСТЬ УПРАВЛЕНИЯ  │</w:t>
        <w:br w:type="textWrapping"/>
        <w:t xml:space="preserve">                         └──────────────┬───────────────┘</w:t>
        <w:br w:type="textWrapping"/>
        <w:t xml:space="preserve">                                        │</w:t>
        <w:br w:type="textWrapping"/>
        <w:t xml:space="preserve">                         ┌──────────────┴──────────────┐</w:t>
        <w:br w:type="textWrapping"/>
        <w:t xml:space="preserve">                         ▼                             ▼</w:t>
        <w:br w:type="textWrapping"/>
        <w:t xml:space="preserve">              ┌────────────────────┐        ┌────────────────────┐</w:t>
        <w:br w:type="textWrapping"/>
        <w:t xml:space="preserve">              │  РЕЗУЛЬТАТИВНОСТЬ  │        │    ЭКОНОМИЧНОСТЬ   │</w:t>
        <w:br w:type="textWrapping"/>
        <w:t xml:space="preserve">              │  (Effectiveness)   │        │     (Efficiency)   │</w:t>
        <w:br w:type="textWrapping"/>
        <w:t xml:space="preserve">              │ «Делать правильные │        │ «Делать вещи       │</w:t>
        <w:br w:type="textWrapping"/>
        <w:t xml:space="preserve">              │  вещи»             │        │  правильно»        │</w:t>
        <w:br w:type="textWrapping"/>
        <w:t xml:space="preserve">              └────────────────────┘        └────────────────────┘</w:t>
        <w:br w:type="textWrapping"/>
      </w:r>
    </w:p>
    <w:p w:rsidR="00000000" w:rsidDel="00000000" w:rsidP="00000000" w:rsidRDefault="00000000" w:rsidRPr="00000000" w14:paraId="0000002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Классическая формулировка Питера Друкера:</w:t>
      </w:r>
    </w:p>
    <w:p w:rsidR="00000000" w:rsidDel="00000000" w:rsidP="00000000" w:rsidRDefault="00000000" w:rsidRPr="00000000" w14:paraId="00000022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Результативность (Effectiveness):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Показывает, насколько выбранные цели соответствуют реальным потребностям организации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«Делать правильные вещи»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23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Экономичность / Эффективность (Efficiency):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Показывает, с какими затратами ресурсов достигаются поставленные цели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«Делать вещи правильно»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24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Система показателей эффективности систем управления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Оценку системы управления проводят путем сопоставления двух основных групп показателей: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обобщающих (системных)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частных (функциональных)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ПОКАЗАТЕЛИ ЭФФЕКТИВНОСТИ УПРАВЛЕНИЯ          │</w:t>
        <w:br w:type="textWrapping"/>
        <w:t xml:space="preserve">└───────┬──────────────────────────────────────┬─────────┘</w:t>
        <w:br w:type="textWrapping"/>
        <w:t xml:space="preserve">        │                                      │</w:t>
        <w:br w:type="textWrapping"/>
        <w:t xml:space="preserve">        ▼                                      ▼</w:t>
        <w:br w:type="textWrapping"/>
        <w:t xml:space="preserve">┌──────────────────────────────┐┌──────────────────────────────┐</w:t>
        <w:br w:type="textWrapping"/>
        <w:t xml:space="preserve">│  ЭКОНОМИЧЕСКАЯ ЭФФЕКТИВНОСТЬ ││    СОЦИАЛЬНАЯ ЭФФЕКТИВНОСТЬ │</w:t>
        <w:br w:type="textWrapping"/>
        <w:t xml:space="preserve">├──────────────────────────────┤├──────────────────────────────┤</w:t>
        <w:br w:type="textWrapping"/>
        <w:t xml:space="preserve">│• Рентабельность затрат на    ││• Уровень текучести кадров    │</w:t>
        <w:br w:type="textWrapping"/>
        <w:t xml:space="preserve">│  управление                  ││• Индекс лояльности и         │</w:t>
        <w:br w:type="textWrapping"/>
        <w:t xml:space="preserve">│• Удельный вес затрат на АУП  │  удовлетворенности (eNPS)     │</w:t>
        <w:br w:type="textWrapping"/>
        <w:t xml:space="preserve">│• Производительность труда    ││• Социально-психологический   │</w:t>
        <w:br w:type="textWrapping"/>
        <w:t xml:space="preserve">│  всей системы                │  климат в коллективе         │</w:t>
        <w:br w:type="textWrapping"/>
        <w:t xml:space="preserve">└──────────────────────────────┘└──────────────────────────────┘</w:t>
        <w:br w:type="textWrapping"/>
      </w:r>
    </w:p>
    <w:p w:rsidR="00000000" w:rsidDel="00000000" w:rsidP="00000000" w:rsidRDefault="00000000" w:rsidRPr="00000000" w14:paraId="0000002A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1. Экономическая эффективность управления (</w:t>
      </w:r>
      <m:oMath>
        <m:sSub>
          <m:sSubPr>
            <m:ctrlPr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color w:val="1f1f1f"/>
                <w:sz w:val="24"/>
                <w:szCs w:val="24"/>
              </w:rPr>
            </m:ctrlPr>
          </m:sSubPr>
          <m:e>
            <m:r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color w:val="1f1f1f"/>
                <w:sz w:val="24"/>
                <w:szCs w:val="24"/>
              </w:rPr>
              <m:t xml:space="preserve">E</m:t>
            </m:r>
          </m:e>
          <m:sub>
            <m:r>
              <w:rPr>
                <w:rFonts w:ascii="Google Sans" w:cs="Google Sans" w:eastAsia="Google Sans" w:hAnsi="Google Sans"/>
                <w:b w:val="1"/>
                <w:bCs w:val="1"/>
                <w:i w:val="0"/>
                <w:iCs w:val="0"/>
                <w:color w:val="1f1f1f"/>
                <w:sz w:val="24"/>
                <w:szCs w:val="24"/>
              </w:rPr>
              <m:t xml:space="preserve">u</m:t>
            </m:r>
          </m:sub>
        </m:sSub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Базовая математическая модель оценки экономической эффективности управления определяется как соотношение экономического эффекта к затратам на систему управления: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jc w:val="center"/>
        <w:rPr>
          <w:rFonts w:ascii="Google Sans" w:cs="Google Sans" w:eastAsia="Google Sans" w:hAnsi="Google Sans"/>
          <w:color w:val="1f1f1f"/>
        </w:rPr>
      </w:pPr>
      <m:oMath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E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u</m:t>
            </m:r>
          </m:sub>
        </m:sSub>
        <m:r>
          <w:rPr>
            <w:rFonts w:ascii="Google Sans" w:cs="Google Sans" w:eastAsia="Google Sans" w:hAnsi="Google Sans"/>
            <w:color w:val="1f1f1f"/>
          </w:rPr>
          <m:t xml:space="preserve">=</m:t>
        </m:r>
        <m:f>
          <m:fPr>
            <m:ctrlPr>
              <w:rPr>
                <w:rFonts w:ascii="Google Sans" w:cs="Google Sans" w:eastAsia="Google Sans" w:hAnsi="Google Sans"/>
                <w:color w:val="1f1f1f"/>
              </w:rPr>
            </m:ctrlPr>
          </m:fPr>
          <m:num>
            <m:r>
              <w:rPr>
                <w:rFonts w:ascii="Google Sans" w:cs="Google Sans" w:eastAsia="Google Sans" w:hAnsi="Google Sans"/>
                <w:color w:val="1f1f1f"/>
              </w:rPr>
              <m:t>Δ</m:t>
            </m:r>
            <m:r>
              <w:rPr>
                <w:rFonts w:ascii="Google Sans" w:cs="Google Sans" w:eastAsia="Google Sans" w:hAnsi="Google Sans"/>
                <w:color w:val="1f1f1f"/>
              </w:rPr>
              <m:t xml:space="preserve">R</m:t>
            </m:r>
          </m:num>
          <m:den>
            <m:sSub>
              <m:sSubPr>
                <m:ctrlPr>
                  <w:rPr>
                    <w:rFonts w:ascii="Google Sans" w:cs="Google Sans" w:eastAsia="Google Sans" w:hAnsi="Google Sans"/>
                    <w:color w:val="1f1f1f"/>
                  </w:rPr>
                </m:ctrlPr>
              </m:sSubPr>
              <m:e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C</m:t>
                </m:r>
              </m:e>
              <m:sub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u</m:t>
                </m:r>
              </m:sub>
            </m:sSub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Где: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m:oMath>
        <m:r>
          <m:t>Δ</m:t>
        </m:r>
        <m:r>
          <w:rPr>
            <w:rFonts w:ascii="Google Sans" w:cs="Google Sans" w:eastAsia="Google Sans" w:hAnsi="Google Sans"/>
            <w:color w:val="1f1f1f"/>
          </w:rPr>
          <m:t xml:space="preserve">R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прирост экономического результата (прибыли, дохода, объема выработки);</w:t>
      </w:r>
    </w:p>
    <w:p w:rsidR="00000000" w:rsidDel="00000000" w:rsidP="00000000" w:rsidRDefault="00000000" w:rsidRPr="00000000" w14:paraId="00000032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m:oMath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C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u</m:t>
            </m:r>
          </m:sub>
        </m:sSub>
      </m:oMath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— совокупные затраты на содержание аппарата управления (зарплата АУП, содержание офиса, IT-инфраструктура, обучение).</w:t>
      </w:r>
    </w:p>
    <w:p w:rsidR="00000000" w:rsidDel="00000000" w:rsidP="00000000" w:rsidRDefault="00000000" w:rsidRPr="00000000" w14:paraId="00000033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Ключевые коэффициенты частной оценки: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Коэффициент численности аппарата управления (</w:t>
      </w:r>
      <m:oMath>
        <m:sSub>
          <m:sSubPr>
            <m:ctrlPr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  <m:t xml:space="preserve">K</m:t>
            </m:r>
          </m:e>
          <m:sub>
            <m:r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  <m:t xml:space="preserve">aup</m:t>
            </m:r>
          </m:sub>
        </m:sSub>
      </m:oMath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):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firstLine="0"/>
        <w:jc w:val="center"/>
        <w:rPr>
          <w:rFonts w:ascii="Google Sans" w:cs="Google Sans" w:eastAsia="Google Sans" w:hAnsi="Google Sans"/>
          <w:color w:val="1f1f1f"/>
        </w:rPr>
      </w:pPr>
      <m:oMath>
        <m:sSub>
          <m:sSubPr>
            <m:ctrlPr>
              <w:rPr>
                <w:rFonts w:ascii="Google Sans" w:cs="Google Sans" w:eastAsia="Google Sans" w:hAnsi="Google Sans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color w:val="1f1f1f"/>
              </w:rPr>
              <m:t xml:space="preserve">K</m:t>
            </m:r>
          </m:e>
          <m:sub>
            <m:r>
              <w:rPr>
                <w:rFonts w:ascii="Google Sans" w:cs="Google Sans" w:eastAsia="Google Sans" w:hAnsi="Google Sans"/>
                <w:color w:val="1f1f1f"/>
              </w:rPr>
              <m:t xml:space="preserve">aup</m:t>
            </m:r>
          </m:sub>
        </m:sSub>
        <m:r>
          <w:rPr>
            <w:rFonts w:ascii="Google Sans" w:cs="Google Sans" w:eastAsia="Google Sans" w:hAnsi="Google Sans"/>
            <w:color w:val="1f1f1f"/>
          </w:rPr>
          <m:t xml:space="preserve">=</m:t>
        </m:r>
        <m:f>
          <m:fPr>
            <m:ctrlPr>
              <w:rPr>
                <w:rFonts w:ascii="Google Sans" w:cs="Google Sans" w:eastAsia="Google Sans" w:hAnsi="Google Sans"/>
                <w:color w:val="1f1f1f"/>
              </w:rPr>
            </m:ctrlPr>
          </m:fPr>
          <m:num>
            <m:sSub>
              <m:sSubPr>
                <m:ctrlPr>
                  <w:rPr>
                    <w:rFonts w:ascii="Google Sans" w:cs="Google Sans" w:eastAsia="Google Sans" w:hAnsi="Google Sans"/>
                    <w:color w:val="1f1f1f"/>
                  </w:rPr>
                </m:ctrlPr>
              </m:sSubPr>
              <m:e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N</m:t>
                </m:r>
              </m:e>
              <m:sub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aup</m:t>
                </m:r>
              </m:sub>
            </m:sSub>
          </m:num>
          <m:den>
            <m:sSub>
              <m:sSubPr>
                <m:ctrlPr>
                  <w:rPr>
                    <w:rFonts w:ascii="Google Sans" w:cs="Google Sans" w:eastAsia="Google Sans" w:hAnsi="Google Sans"/>
                    <w:color w:val="1f1f1f"/>
                  </w:rPr>
                </m:ctrlPr>
              </m:sSubPr>
              <m:e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N</m:t>
                </m:r>
              </m:e>
              <m:sub>
                <m:r>
                  <w:rPr>
                    <w:rFonts w:ascii="Google Sans" w:cs="Google Sans" w:eastAsia="Google Sans" w:hAnsi="Google Sans"/>
                    <w:color w:val="1f1f1f"/>
                  </w:rPr>
                  <m:t xml:space="preserve">tot</m:t>
                </m:r>
              </m:sub>
            </m:sSub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(Где </w:t>
      </w:r>
      <m:oMath>
        <m:sSub>
          <m:sSubPr>
            <m:ctrlPr>
              <w:rPr>
                <w:rFonts w:ascii="Google Sans" w:cs="Google Sans" w:eastAsia="Google Sans" w:hAnsi="Google Sans"/>
                <w:i w:val="1"/>
                <w:iCs w:val="1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i w:val="1"/>
                <w:iCs w:val="1"/>
                <w:color w:val="1f1f1f"/>
              </w:rPr>
              <m:t xml:space="preserve">N</m:t>
            </m:r>
          </m:e>
          <m:sub>
            <m:r>
              <w:rPr>
                <w:rFonts w:ascii="Google Sans" w:cs="Google Sans" w:eastAsia="Google Sans" w:hAnsi="Google Sans"/>
                <w:i w:val="1"/>
                <w:iCs w:val="1"/>
                <w:color w:val="1f1f1f"/>
              </w:rPr>
              <m:t xml:space="preserve">aup</m:t>
            </m:r>
          </m:sub>
        </m:sSub>
      </m:oMath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 — численность управленческого персонала, </w:t>
      </w:r>
      <m:oMath>
        <m:sSub>
          <m:sSubPr>
            <m:ctrlPr>
              <w:rPr>
                <w:rFonts w:ascii="Google Sans" w:cs="Google Sans" w:eastAsia="Google Sans" w:hAnsi="Google Sans"/>
                <w:i w:val="1"/>
                <w:iCs w:val="1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i w:val="1"/>
                <w:iCs w:val="1"/>
                <w:color w:val="1f1f1f"/>
              </w:rPr>
              <m:t xml:space="preserve">N</m:t>
            </m:r>
          </m:e>
          <m:sub>
            <m:r>
              <w:rPr>
                <w:rFonts w:ascii="Google Sans" w:cs="Google Sans" w:eastAsia="Google Sans" w:hAnsi="Google Sans"/>
                <w:i w:val="1"/>
                <w:iCs w:val="1"/>
                <w:color w:val="1f1f1f"/>
              </w:rPr>
              <m:t xml:space="preserve">tot</m:t>
            </m:r>
          </m:sub>
        </m:sSub>
      </m:oMath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 — общая численность сотрудников)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Коэффициент надежности системы управления (</w:t>
      </w:r>
      <m:oMath>
        <m:sSub>
          <m:sSubPr>
            <m:ctrlPr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  <m:t xml:space="preserve">K</m:t>
            </m:r>
          </m:e>
          <m:sub>
            <m:r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  <m:t xml:space="preserve">rel</m:t>
            </m:r>
          </m:sub>
        </m:sSub>
      </m:oMath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Соотношение количества вовремя и безошибочно принятых решений к общему числу решений за период.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Коэффициент оперативности (</w:t>
      </w:r>
      <m:oMath>
        <m:sSub>
          <m:sSubPr>
            <m:ctrlPr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</m:ctrlPr>
          </m:sSubPr>
          <m:e>
            <m:r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  <m:t xml:space="preserve">K</m:t>
            </m:r>
          </m:e>
          <m:sub>
            <m:r>
              <w:rPr>
                <w:rFonts w:ascii="Google Sans" w:cs="Google Sans" w:eastAsia="Google Sans" w:hAnsi="Google Sans"/>
                <w:b w:val="1"/>
                <w:bCs w:val="1"/>
                <w:color w:val="1f1f1f"/>
              </w:rPr>
              <m:t xml:space="preserve">op</m:t>
            </m:r>
          </m:sub>
        </m:sSub>
      </m:oMath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Соблюдение установленных сроков подготовки и реализации управленческих решений.</w:t>
      </w:r>
    </w:p>
    <w:p w:rsidR="00000000" w:rsidDel="00000000" w:rsidP="00000000" w:rsidRDefault="00000000" w:rsidRPr="00000000" w14:paraId="00000039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2. Социальная эффективность управления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Характеризует степень удовлетворения потребностей самих работников и общества в целом:</w:t>
      </w:r>
    </w:p>
    <w:p w:rsidR="00000000" w:rsidDel="00000000" w:rsidP="00000000" w:rsidRDefault="00000000" w:rsidRPr="00000000" w14:paraId="0000003B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Уровень мотивации и вовлеченности персонала (Employee Engagement Index).</w:t>
      </w:r>
    </w:p>
    <w:p w:rsidR="00000000" w:rsidDel="00000000" w:rsidP="00000000" w:rsidRDefault="00000000" w:rsidRPr="00000000" w14:paraId="0000003C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Снижение уровня производственного травматизма и заболеваемости.</w:t>
      </w:r>
    </w:p>
    <w:p w:rsidR="00000000" w:rsidDel="00000000" w:rsidP="00000000" w:rsidRDefault="00000000" w:rsidRPr="00000000" w14:paraId="0000003D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Уровень текучести кадров ($T_k = \frac{N_{uvol}}{N_{sredn}} \times 100\%$).</w:t>
      </w:r>
    </w:p>
    <w:p w:rsidR="00000000" w:rsidDel="00000000" w:rsidP="00000000" w:rsidRDefault="00000000" w:rsidRPr="00000000" w14:paraId="0000003E">
      <w:pPr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Социально-экологический след компании (ESG-метрики).</w:t>
      </w:r>
    </w:p>
    <w:p w:rsidR="00000000" w:rsidDel="00000000" w:rsidP="00000000" w:rsidRDefault="00000000" w:rsidRPr="00000000" w14:paraId="0000003F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3. Методы диагностики и аудита систем управления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Для проведения комплексной оценки применяются специальные аналитические процедуры —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управленческий аудит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.</w:t>
      </w:r>
    </w:p>
    <w:p w:rsidR="00000000" w:rsidDel="00000000" w:rsidP="00000000" w:rsidRDefault="00000000" w:rsidRPr="00000000" w14:paraId="00000041">
      <w:pPr>
        <w:pStyle w:val="Heading4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Качественные методы аудита:</w:t>
      </w:r>
    </w:p>
    <w:p w:rsidR="00000000" w:rsidDel="00000000" w:rsidP="00000000" w:rsidRDefault="00000000" w:rsidRPr="00000000" w14:paraId="00000042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Анализ организационных патологий (по А.И. Пригожину):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Выявление устойчивых нарушений в работе системы (дублирование функций, «зависание» решений, господство структуры над функцией, подмена цели средством).</w:t>
      </w:r>
    </w:p>
    <w:p w:rsidR="00000000" w:rsidDel="00000000" w:rsidP="00000000" w:rsidRDefault="00000000" w:rsidRPr="00000000" w14:paraId="00000043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Экспертные оценки и анкетирование: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Диагностика управляемости через опрос сотрудников всех иерархических уровней.</w:t>
      </w:r>
    </w:p>
    <w:p w:rsidR="00000000" w:rsidDel="00000000" w:rsidP="00000000" w:rsidRDefault="00000000" w:rsidRPr="00000000" w14:paraId="00000044">
      <w:pPr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Фотография рабочего дня руководителя: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Оценка рациональности использования временного ресурса менеджмента.</w:t>
      </w:r>
    </w:p>
    <w:p w:rsidR="00000000" w:rsidDel="00000000" w:rsidP="00000000" w:rsidRDefault="00000000" w:rsidRPr="00000000" w14:paraId="00000045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4. Современные интегрированные модели оценки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XXI веке традиционные финансовые коэффициенты считаются недостаточными для оценки сложного менеджмента. Применяются интегрированные концепции: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390"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480" w:firstLine="0"/>
        <w:rPr>
          <w:rFonts w:ascii="Google Sans" w:cs="Google Sans" w:eastAsia="Google Sans" w:hAnsi="Google Sans"/>
          <w:color w:val="1f1f1f"/>
          <w:shd w:fill="141414" w:val="clear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┌────────────────────────────────────────────────────────┐</w:t>
        <w:br w:type="textWrapping"/>
        <w:t xml:space="preserve">│             СБАЛАНСИРОВАННАЯ СИСТЕМА ПОКАЗАТЕЛЕЙ       │</w:t>
        <w:br w:type="textWrapping"/>
        <w:t xml:space="preserve">│                  (Balanced Scorecard — BSC)            │</w:t>
        <w:br w:type="textWrapping"/>
        <w:t xml:space="preserve">└───────┬──────────────┬──────────────┬───────────┬──────┘</w:t>
        <w:br w:type="textWrapping"/>
        <w:t xml:space="preserve">        │              │              │           │</w:t>
        <w:br w:type="textWrapping"/>
        <w:t xml:space="preserve">        ▼              ▼              ▼           ▼</w:t>
        <w:br w:type="textWrapping"/>
        <w:t xml:space="preserve">┌──────────────┐┌──────────────┐┌───────────┐┌─────────────┐</w:t>
        <w:br w:type="textWrapping"/>
        <w:t xml:space="preserve">│   ФИНАНСЫ    ││   КЛИЕНТЫ    ││ ПРОЦЕССЫ  ││  ОБУЧЕНИЕ   │</w:t>
        <w:br w:type="textWrapping"/>
        <w:t xml:space="preserve">│ (ROI, EVA,   ││ (NPS, доля   ││ (Скорость,││ (Квалифика- │</w:t>
        <w:br w:type="textWrapping"/>
        <w:t xml:space="preserve">│  маржиналь-  ││  рынка, удер-││ качество, ││  ция, </w:t>
      </w:r>
      <m:oMath>
        <m:r>
          <w:rPr>
            <w:rFonts w:ascii="Google Sans" w:cs="Google Sans" w:eastAsia="Google Sans" w:hAnsi="Google Sans"/>
            <w:color w:val="1f1f1f"/>
            <w:shd w:fill="141414" w:val="clear"/>
          </w:rPr>
          <m:t xml:space="preserve">EQ</m:t>
        </m:r>
      </m:oMath>
      <w:r w:rsidDel="00000000" w:rsidR="00000000" w:rsidRPr="00000000">
        <w:rPr>
          <w:rFonts w:ascii="Google Sans" w:cs="Google Sans" w:eastAsia="Google Sans" w:hAnsi="Google Sans"/>
          <w:color w:val="1f1f1f"/>
          <w:shd w:fill="141414" w:val="clear"/>
          <w:rtl w:val="0"/>
        </w:rPr>
        <w:t xml:space="preserve">, │</w:t>
        <w:br w:type="textWrapping"/>
        <w:t xml:space="preserve">│  ность)      ││  жание)      ││ брак)     ││  IT-навыки) │</w:t>
        <w:br w:type="textWrapping"/>
        <w:t xml:space="preserve">└──────────────┘└──────────────┘└───────────┘└─────────────┘</w:t>
        <w:br w:type="textWrapping"/>
      </w:r>
    </w:p>
    <w:p w:rsidR="00000000" w:rsidDel="00000000" w:rsidP="00000000" w:rsidRDefault="00000000" w:rsidRPr="00000000" w14:paraId="0000004B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Оценка ROI управленческих инноваций (Return on Investment):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Расчет окупаемости затрат на внедрение новых систем управления (например, переход на ERP/CRM или внедрение Agile-методологий).</w:t>
      </w:r>
    </w:p>
    <w:p w:rsidR="00000000" w:rsidDel="00000000" w:rsidP="00000000" w:rsidRDefault="00000000" w:rsidRPr="00000000" w14:paraId="0000004C">
      <w:pPr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Сбалансированная система показателей (BSC):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Управление считается эффективным, если оно обеспечивает гармоничный рост показателей во всех четырех проекциях (</w:t>
      </w:r>
      <w:r w:rsidDel="00000000" w:rsidR="00000000" w:rsidRPr="00000000">
        <w:rPr>
          <w:rFonts w:ascii="Google Sans" w:cs="Google Sans" w:eastAsia="Google Sans" w:hAnsi="Google Sans"/>
          <w:i w:val="1"/>
          <w:iCs w:val="1"/>
          <w:color w:val="1f1f1f"/>
          <w:rtl w:val="0"/>
        </w:rPr>
        <w:t xml:space="preserve">Финансы, Клиенты, Процессы, Персонал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).</w:t>
      </w:r>
    </w:p>
    <w:p w:rsidR="00000000" w:rsidDel="00000000" w:rsidP="00000000" w:rsidRDefault="00000000" w:rsidRPr="00000000" w14:paraId="0000004D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5. Резюме лекции</w:t>
      </w:r>
    </w:p>
    <w:p w:rsidR="00000000" w:rsidDel="00000000" w:rsidP="00000000" w:rsidRDefault="00000000" w:rsidRPr="00000000" w14:paraId="0000004E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Эффективность управления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выражает соотношение полученного социально-экономического эффекта и ресурсов, затраченных на функционирование аппарата управления.</w:t>
      </w:r>
    </w:p>
    <w:p w:rsidR="00000000" w:rsidDel="00000000" w:rsidP="00000000" w:rsidRDefault="00000000" w:rsidRPr="00000000" w14:paraId="0000004F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Комплексная оценка требует учета как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количественных экономических показателей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(прибыль, рентабельность, расходы на АУП), так и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качественных социальных критериев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(климат, вовлеченность, текучесть кадров).</w:t>
      </w:r>
    </w:p>
    <w:p w:rsidR="00000000" w:rsidDel="00000000" w:rsidP="00000000" w:rsidRDefault="00000000" w:rsidRPr="00000000" w14:paraId="00000050">
      <w:pPr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Совершенствование систем управления должно опираться на регулярный </w:t>
      </w:r>
      <w:r w:rsidDel="00000000" w:rsidR="00000000" w:rsidRPr="00000000">
        <w:rPr>
          <w:rFonts w:ascii="Google Sans" w:cs="Google Sans" w:eastAsia="Google Sans" w:hAnsi="Google Sans"/>
          <w:b w:val="1"/>
          <w:bCs w:val="1"/>
          <w:color w:val="1f1f1f"/>
          <w:rtl w:val="0"/>
        </w:rPr>
        <w:t xml:space="preserve">управленческий аудит</w:t>
      </w: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 и внедрение сбалансированных моделей оценки (BSC, KPI, ROI).</w:t>
      </w:r>
    </w:p>
    <w:p w:rsidR="00000000" w:rsidDel="00000000" w:rsidP="00000000" w:rsidRDefault="00000000" w:rsidRPr="00000000" w14:paraId="00000051">
      <w:pPr>
        <w:pStyle w:val="Heading3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5.9999942779541" w:lineRule="auto"/>
        <w:rPr>
          <w:rFonts w:ascii="Google Sans" w:cs="Google Sans" w:eastAsia="Google Sans" w:hAnsi="Google Sans"/>
          <w:color w:val="1f1f1f"/>
        </w:rPr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Контрольные вопросы для самопроверки</w:t>
      </w:r>
    </w:p>
    <w:p w:rsidR="00000000" w:rsidDel="00000000" w:rsidP="00000000" w:rsidRDefault="00000000" w:rsidRPr="00000000" w14:paraId="00000052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состоит принципиальное различие между понятиями «результативность» и «экономичность» по П. Друкеру?</w:t>
      </w:r>
    </w:p>
    <w:p w:rsidR="00000000" w:rsidDel="00000000" w:rsidP="00000000" w:rsidRDefault="00000000" w:rsidRPr="00000000" w14:paraId="00000053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Назовите формулу базовой оценки экономической эффективности управления.</w:t>
      </w:r>
    </w:p>
    <w:p w:rsidR="00000000" w:rsidDel="00000000" w:rsidP="00000000" w:rsidRDefault="00000000" w:rsidRPr="00000000" w14:paraId="00000054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Какие показатели характеризуют социальную эффективность системы управления?</w:t>
      </w:r>
    </w:p>
    <w:p w:rsidR="00000000" w:rsidDel="00000000" w:rsidP="00000000" w:rsidRDefault="00000000" w:rsidRPr="00000000" w14:paraId="00000055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В чем заключается сущность аудита организационных патологий?</w:t>
      </w:r>
    </w:p>
    <w:p w:rsidR="00000000" w:rsidDel="00000000" w:rsidP="00000000" w:rsidRDefault="00000000" w:rsidRPr="00000000" w14:paraId="00000056">
      <w:pPr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00" w:hanging="360"/>
      </w:pPr>
      <w:r w:rsidDel="00000000" w:rsidR="00000000" w:rsidRPr="00000000">
        <w:rPr>
          <w:rFonts w:ascii="Google Sans" w:cs="Google Sans" w:eastAsia="Google Sans" w:hAnsi="Google Sans"/>
          <w:color w:val="1f1f1f"/>
          <w:rtl w:val="0"/>
        </w:rPr>
        <w:t xml:space="preserve">Как 4 проекции Сбалансированной системы показателей (BSC) помогают оценить качество работы менеджмента?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Google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5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9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0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3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14">
    <w:lvl w:ilvl="0">
      <w:start w:val="1"/>
      <w:numFmt w:val="decimal"/>
      <w:lvlText w:val="%1.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oogleSans-regular.ttf"/><Relationship Id="rId2" Type="http://schemas.openxmlformats.org/officeDocument/2006/relationships/font" Target="fonts/GoogleSans-bold.ttf"/><Relationship Id="rId3" Type="http://schemas.openxmlformats.org/officeDocument/2006/relationships/font" Target="fonts/GoogleSans-italic.ttf"/><Relationship Id="rId4" Type="http://schemas.openxmlformats.org/officeDocument/2006/relationships/font" Target="fonts/Google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